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66" w:rsidRPr="00482B1C" w:rsidRDefault="00133639" w:rsidP="00C42C5A">
      <w:pPr>
        <w:jc w:val="center"/>
        <w:rPr>
          <w:b/>
          <w:bCs/>
          <w:szCs w:val="20"/>
        </w:rPr>
      </w:pPr>
      <w:r w:rsidRPr="00482B1C">
        <w:pict>
          <v:line id="_x0000_s2050" style="position:absolute;left:0;text-align:left;z-index:251660288" from="3.75pt,-18.45pt" to="493.35pt,-18.45pt" o:allowincell="f" strokeweight="2.25pt"/>
        </w:pict>
      </w:r>
      <w:r w:rsidR="00D22D34" w:rsidRPr="00482B1C">
        <w:rPr>
          <w:b/>
        </w:rPr>
        <w:t xml:space="preserve">ТЕХНИЧКА СПЕЦИФИКАЦИЈА - </w:t>
      </w:r>
      <w:r w:rsidR="00D14266" w:rsidRPr="00482B1C">
        <w:rPr>
          <w:b/>
          <w:bCs/>
          <w:szCs w:val="20"/>
        </w:rPr>
        <w:t>МИКРОБИОЛОШКА ОПРЕМА –</w:t>
      </w:r>
    </w:p>
    <w:p w:rsidR="00D22D34" w:rsidRPr="00482B1C" w:rsidRDefault="00D14266" w:rsidP="00C42C5A">
      <w:pPr>
        <w:jc w:val="center"/>
        <w:rPr>
          <w:b/>
        </w:rPr>
      </w:pPr>
      <w:r w:rsidRPr="00482B1C">
        <w:rPr>
          <w:b/>
          <w:bCs/>
          <w:szCs w:val="20"/>
        </w:rPr>
        <w:t xml:space="preserve"> АПАРАТ ЗА АУТОМАТСКУ СЕРОЛОШКУ ДИЈАГНОСТИКУ ИЗ ХУМАНИХ УЗОРАКА БАЗИРАН НА „ЕЛФА“ МЕТОДИ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D22D34" w:rsidRPr="00482B1C" w:rsidTr="004E6DF2">
        <w:trPr>
          <w:trHeight w:val="420"/>
        </w:trPr>
        <w:tc>
          <w:tcPr>
            <w:tcW w:w="10031" w:type="dxa"/>
          </w:tcPr>
          <w:p w:rsidR="00D22D34" w:rsidRPr="00482B1C" w:rsidRDefault="00D22D34" w:rsidP="00E70C1A">
            <w:pPr>
              <w:ind w:left="0"/>
              <w:jc w:val="center"/>
              <w:rPr>
                <w:b/>
                <w:sz w:val="28"/>
                <w:szCs w:val="28"/>
              </w:rPr>
            </w:pPr>
            <w:r w:rsidRPr="00482B1C">
              <w:rPr>
                <w:b/>
                <w:sz w:val="28"/>
                <w:szCs w:val="28"/>
              </w:rPr>
              <w:t>Назив добра / Техничка спецификација</w:t>
            </w:r>
          </w:p>
        </w:tc>
      </w:tr>
      <w:tr w:rsidR="00D22D34" w:rsidRPr="00482B1C" w:rsidTr="004E6DF2">
        <w:trPr>
          <w:trHeight w:val="412"/>
        </w:trPr>
        <w:tc>
          <w:tcPr>
            <w:tcW w:w="10031" w:type="dxa"/>
          </w:tcPr>
          <w:p w:rsidR="00D22D34" w:rsidRPr="00482B1C" w:rsidRDefault="00D22D34" w:rsidP="00E64A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B1C">
              <w:rPr>
                <w:rFonts w:ascii="Times New Roman" w:hAnsi="Times New Roman" w:cs="Times New Roman"/>
                <w:b/>
              </w:rPr>
              <w:t xml:space="preserve">ОПРЕМА: </w:t>
            </w:r>
            <w:r w:rsidR="00D14266" w:rsidRPr="00482B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МИКРОБИОЛОШКА ОПРЕМА – АПАРАТ ЗА АУТОМАТСКУ СЕРОЛОШКУ ДИЈАГНОСТИКУ ИЗ ХУМАНИХ УЗОРАКА БАЗИРАН НА „ЕЛФА“ МЕТОДИ</w:t>
            </w:r>
          </w:p>
        </w:tc>
      </w:tr>
      <w:tr w:rsidR="00D22D34" w:rsidRPr="00482B1C" w:rsidTr="004E6DF2">
        <w:tc>
          <w:tcPr>
            <w:tcW w:w="10031" w:type="dxa"/>
            <w:shd w:val="clear" w:color="auto" w:fill="D9D9D9"/>
          </w:tcPr>
          <w:p w:rsidR="00D22D34" w:rsidRPr="00482B1C" w:rsidRDefault="00D22D34" w:rsidP="00D14266">
            <w:pPr>
              <w:ind w:left="0" w:right="0"/>
              <w:jc w:val="both"/>
              <w:rPr>
                <w:b/>
                <w:bCs/>
              </w:rPr>
            </w:pPr>
            <w:r w:rsidRPr="00482B1C">
              <w:rPr>
                <w:b/>
              </w:rPr>
              <w:t>Основни подаци</w:t>
            </w:r>
            <w:r w:rsidR="00937D62" w:rsidRPr="00482B1C">
              <w:rPr>
                <w:b/>
              </w:rPr>
              <w:t xml:space="preserve"> о уређају</w:t>
            </w:r>
            <w:r w:rsidRPr="00482B1C">
              <w:rPr>
                <w:b/>
              </w:rPr>
              <w:t>:</w:t>
            </w:r>
            <w:r w:rsidRPr="00482B1C">
              <w:t xml:space="preserve"> </w:t>
            </w:r>
            <w:r w:rsidR="00D14266" w:rsidRPr="00482B1C">
              <w:rPr>
                <w:b/>
                <w:bCs/>
              </w:rPr>
              <w:t xml:space="preserve">Апарат „mini Vidas“, </w:t>
            </w:r>
            <w:r w:rsidR="00D14266" w:rsidRPr="00482B1C">
              <w:rPr>
                <w:b/>
                <w:bCs/>
                <w:i/>
                <w:iCs/>
              </w:rPr>
              <w:t>Biomerieux</w:t>
            </w:r>
            <w:r w:rsidR="00D14266" w:rsidRPr="00482B1C">
              <w:rPr>
                <w:b/>
                <w:bCs/>
              </w:rPr>
              <w:t xml:space="preserve"> или одговарајући</w:t>
            </w:r>
          </w:p>
        </w:tc>
      </w:tr>
      <w:tr w:rsidR="00D22D34" w:rsidRPr="00482B1C" w:rsidTr="00D14266">
        <w:trPr>
          <w:trHeight w:val="6105"/>
        </w:trPr>
        <w:tc>
          <w:tcPr>
            <w:tcW w:w="10031" w:type="dxa"/>
            <w:tcBorders>
              <w:bottom w:val="single" w:sz="4" w:space="0" w:color="auto"/>
            </w:tcBorders>
          </w:tcPr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 xml:space="preserve">Integrisani automatski </w:t>
            </w:r>
            <w:proofErr w:type="spellStart"/>
            <w:r w:rsidRPr="00482B1C">
              <w:t>imunoanalajzer</w:t>
            </w:r>
            <w:proofErr w:type="spellEnd"/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ELFA tehnologija (</w:t>
            </w:r>
            <w:proofErr w:type="spellStart"/>
            <w:r w:rsidRPr="00482B1C">
              <w:t>Enzyme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Linked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Fluorescent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Assay</w:t>
            </w:r>
            <w:proofErr w:type="spellEnd"/>
            <w:r w:rsidRPr="00482B1C">
              <w:t>)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Aparat sa  dve sekcije, svaka po 6 mesta za testove;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 xml:space="preserve">Ispitivanje </w:t>
            </w:r>
            <w:proofErr w:type="spellStart"/>
            <w:r w:rsidRPr="00482B1C">
              <w:t>imunohemijskih</w:t>
            </w:r>
            <w:proofErr w:type="spellEnd"/>
            <w:r w:rsidRPr="00482B1C">
              <w:t xml:space="preserve">, infektivnih i </w:t>
            </w:r>
            <w:proofErr w:type="spellStart"/>
            <w:r w:rsidRPr="00482B1C">
              <w:t>hemostatskih</w:t>
            </w:r>
            <w:proofErr w:type="spellEnd"/>
            <w:r w:rsidRPr="00482B1C">
              <w:t xml:space="preserve"> parametara uključujući polne hormone i test za diferencijaciju sistemske bakterijske infekcije od drugih inflamatornih poremećaja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  <w:rPr>
                <w:u w:val="single"/>
              </w:rPr>
            </w:pPr>
            <w:r w:rsidRPr="00482B1C">
              <w:t xml:space="preserve">Obavezni testovi u paleti: </w:t>
            </w:r>
            <w:proofErr w:type="spellStart"/>
            <w:r w:rsidRPr="00482B1C">
              <w:t>Clostridium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difficile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Toxin</w:t>
            </w:r>
            <w:proofErr w:type="spellEnd"/>
            <w:r w:rsidRPr="00482B1C">
              <w:t xml:space="preserve"> A i B, HIV duo, </w:t>
            </w:r>
            <w:proofErr w:type="spellStart"/>
            <w:r w:rsidRPr="00482B1C">
              <w:t>Hbs</w:t>
            </w:r>
            <w:proofErr w:type="spellEnd"/>
            <w:r w:rsidRPr="00482B1C">
              <w:t xml:space="preserve"> </w:t>
            </w:r>
            <w:proofErr w:type="spellStart"/>
            <w:r w:rsidRPr="00482B1C">
              <w:t>Ag</w:t>
            </w:r>
            <w:proofErr w:type="spellEnd"/>
            <w:r w:rsidRPr="00482B1C">
              <w:t xml:space="preserve"> Ultra, Anti-HCV, At na Rubella virus , At na Toxoplasma gondii;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Kompletni reagensi za jednu analizu u jednom testu;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 xml:space="preserve">Komplet reagenasa za izvođenje jednog parametra nalazi se u jednom setu, nema  troškova za dopunski potrošni materijal , kontrole i </w:t>
            </w:r>
            <w:proofErr w:type="spellStart"/>
            <w:r w:rsidRPr="00482B1C">
              <w:t>kalibratore</w:t>
            </w:r>
            <w:proofErr w:type="spellEnd"/>
            <w:r w:rsidRPr="00482B1C">
              <w:t>;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ind w:right="0"/>
            </w:pPr>
            <w:r w:rsidRPr="00482B1C">
              <w:t>Aparat ne koristi sistemske rastvore i deterdžente, nema ispiranja i nema stvaranja tečnog otpada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Mogućnost rada pojedinačnih analiza i serija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Mogućnost rada više različitih analiza u isto vreme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Kompletna kontrola svih reagenasa bar kodom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Mogućnost umrežavanja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Mogućnost rada u STAT modu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CE sertifikat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Aparat i reagensi registrovani u našoj zemlji</w:t>
            </w:r>
          </w:p>
          <w:p w:rsidR="00ED3777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Servisna podrška u našoj zemlji</w:t>
            </w:r>
          </w:p>
          <w:p w:rsidR="00D22D34" w:rsidRPr="00482B1C" w:rsidRDefault="00ED3777" w:rsidP="00ED3777">
            <w:pPr>
              <w:numPr>
                <w:ilvl w:val="0"/>
                <w:numId w:val="17"/>
              </w:numPr>
              <w:spacing w:line="276" w:lineRule="auto"/>
              <w:ind w:right="0"/>
            </w:pPr>
            <w:r w:rsidRPr="00482B1C">
              <w:t>Sertifikat o prodaji reagenasa u EU</w:t>
            </w:r>
          </w:p>
        </w:tc>
      </w:tr>
    </w:tbl>
    <w:p w:rsidR="00F30891" w:rsidRPr="00482B1C" w:rsidRDefault="00F30891" w:rsidP="00F30891">
      <w:pPr>
        <w:ind w:left="0"/>
        <w:rPr>
          <w:b/>
        </w:rPr>
      </w:pPr>
      <w:r w:rsidRPr="00482B1C">
        <w:rPr>
          <w:b/>
        </w:rPr>
        <w:t>Понуђач по питању техничке спецификације треба испунити следеће минималне услове: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Понуђач је дужан  да достави  добро  са пратећом опремом које поседује све тражене техничке карактеристике. Ако понуђена добра не поседују тражене техничке карактеристике сматраће се неодговарајућим.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Изабрани  Понуђач је у обавези да испоручи добра у складу са понудом, која квалитативно и технички одговарају захтеваним условима из документације.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lastRenderedPageBreak/>
        <w:t xml:space="preserve">Гарантни рок најмање </w:t>
      </w:r>
      <w:r w:rsidRPr="00482B1C">
        <w:rPr>
          <w:b/>
        </w:rPr>
        <w:t>24 месеца</w:t>
      </w:r>
      <w:r w:rsidRPr="00482B1C">
        <w:t>.</w:t>
      </w:r>
    </w:p>
    <w:p w:rsidR="00F30891" w:rsidRPr="00482B1C" w:rsidRDefault="00F30891" w:rsidP="00E309C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F30891" w:rsidRPr="00482B1C" w:rsidRDefault="00F30891" w:rsidP="00F30891">
      <w:pPr>
        <w:ind w:left="0"/>
        <w:rPr>
          <w:b/>
        </w:rPr>
      </w:pPr>
      <w:r w:rsidRPr="00482B1C">
        <w:rPr>
          <w:b/>
        </w:rPr>
        <w:t>Понуђач по питању професионалне способности треба испунити следеће минималне услове:</w:t>
      </w:r>
    </w:p>
    <w:p w:rsidR="00F30891" w:rsidRPr="00482B1C" w:rsidRDefault="00F30891" w:rsidP="00A8786A">
      <w:pPr>
        <w:ind w:left="0"/>
        <w:jc w:val="both"/>
        <w:rPr>
          <w:lang w:val="en-US"/>
        </w:rPr>
      </w:pPr>
      <w:r w:rsidRPr="00482B1C">
        <w:rPr>
          <w:b/>
        </w:rPr>
        <w:t>а)</w:t>
      </w:r>
      <w:r w:rsidRPr="00482B1C">
        <w:t xml:space="preserve">   Да у оквиру понуде достави </w:t>
      </w:r>
      <w:r w:rsidRPr="00482B1C">
        <w:rPr>
          <w:b/>
        </w:rPr>
        <w:t>Ауторизацију - овлашћење</w:t>
      </w:r>
      <w:r w:rsidRPr="00482B1C">
        <w:t xml:space="preserve"> произвођача за </w:t>
      </w:r>
      <w:r w:rsidR="004E6DF2" w:rsidRPr="00482B1C">
        <w:rPr>
          <w:b/>
        </w:rPr>
        <w:t>дистрибуцију</w:t>
      </w:r>
      <w:r w:rsidRPr="00482B1C">
        <w:rPr>
          <w:b/>
        </w:rPr>
        <w:t xml:space="preserve"> и одржавање - сервис</w:t>
      </w:r>
      <w:r w:rsidRPr="00482B1C">
        <w:t xml:space="preserve"> опреме на територији Републике Србије.  </w:t>
      </w:r>
      <w:r w:rsidRPr="00482B1C">
        <w:rPr>
          <w:lang w:val="en-US"/>
        </w:rPr>
        <w:t>(</w:t>
      </w:r>
      <w:proofErr w:type="gramStart"/>
      <w:r w:rsidRPr="00482B1C">
        <w:t>приложити</w:t>
      </w:r>
      <w:proofErr w:type="gramEnd"/>
      <w:r w:rsidRPr="00482B1C">
        <w:t xml:space="preserve"> овлашћење</w:t>
      </w:r>
      <w:r w:rsidRPr="00482B1C">
        <w:rPr>
          <w:lang w:val="en-US"/>
        </w:rPr>
        <w:t>)</w:t>
      </w:r>
    </w:p>
    <w:p w:rsidR="00F30891" w:rsidRPr="00482B1C" w:rsidRDefault="00F30891" w:rsidP="00F30891">
      <w:pPr>
        <w:ind w:left="0"/>
      </w:pPr>
    </w:p>
    <w:p w:rsidR="00F30891" w:rsidRPr="00482B1C" w:rsidRDefault="003453EA" w:rsidP="00A8786A">
      <w:pPr>
        <w:ind w:left="0"/>
        <w:jc w:val="both"/>
      </w:pPr>
      <w:r w:rsidRPr="00482B1C">
        <w:rPr>
          <w:b/>
        </w:rPr>
        <w:t>б)</w:t>
      </w:r>
      <w:r w:rsidRPr="00482B1C">
        <w:t xml:space="preserve">  </w:t>
      </w:r>
      <w:r w:rsidR="00F30891" w:rsidRPr="00482B1C">
        <w:t xml:space="preserve">Да у оквиру понуде достави </w:t>
      </w:r>
      <w:r w:rsidR="00F30891" w:rsidRPr="00482B1C">
        <w:rPr>
          <w:b/>
        </w:rPr>
        <w:t>Сертификате</w:t>
      </w:r>
      <w:r w:rsidR="00F30891" w:rsidRPr="00482B1C">
        <w:t xml:space="preserve"> које издаје произвођач опреме </w:t>
      </w:r>
      <w:r w:rsidR="00F30891" w:rsidRPr="00482B1C">
        <w:rPr>
          <w:b/>
          <w:u w:val="single"/>
        </w:rPr>
        <w:t>за особље</w:t>
      </w:r>
      <w:r w:rsidR="00F30891" w:rsidRPr="00482B1C">
        <w:t xml:space="preserve"> које ће бити ангажовано на пословима инсталације и редовног одржавања опреме у гарантном року.</w:t>
      </w:r>
      <w:r w:rsidRPr="00482B1C">
        <w:t xml:space="preserve"> </w:t>
      </w:r>
      <w:r w:rsidRPr="00482B1C">
        <w:rPr>
          <w:b/>
        </w:rPr>
        <w:t>Минимум један обучени сервисер</w:t>
      </w:r>
      <w:r w:rsidRPr="00482B1C">
        <w:t xml:space="preserve"> (приложити сертификат)</w:t>
      </w:r>
    </w:p>
    <w:p w:rsidR="00F30891" w:rsidRPr="00482B1C" w:rsidRDefault="00F30891" w:rsidP="00F30891">
      <w:pPr>
        <w:ind w:left="0"/>
      </w:pPr>
    </w:p>
    <w:p w:rsidR="00E309C8" w:rsidRPr="00482B1C" w:rsidRDefault="004E6DF2" w:rsidP="00E309C8">
      <w:pPr>
        <w:ind w:left="0"/>
      </w:pPr>
      <w:r w:rsidRPr="00482B1C">
        <w:rPr>
          <w:b/>
        </w:rPr>
        <w:t>в)</w:t>
      </w:r>
      <w:r w:rsidRPr="00482B1C">
        <w:t xml:space="preserve"> </w:t>
      </w:r>
      <w:r w:rsidR="00E309C8" w:rsidRPr="00482B1C">
        <w:t xml:space="preserve">Да у оквиру понуде достави </w:t>
      </w:r>
      <w:r w:rsidR="00E309C8" w:rsidRPr="00482B1C">
        <w:rPr>
          <w:b/>
        </w:rPr>
        <w:t>изјаву</w:t>
      </w:r>
      <w:r w:rsidR="00E309C8" w:rsidRPr="00482B1C">
        <w:t xml:space="preserve"> да ће доступност резервних делова за предметну опрему бити </w:t>
      </w:r>
      <w:r w:rsidR="00E309C8" w:rsidRPr="00482B1C">
        <w:rPr>
          <w:b/>
        </w:rPr>
        <w:t>минимално 7 година</w:t>
      </w:r>
      <w:r w:rsidR="00E309C8" w:rsidRPr="00482B1C">
        <w:t xml:space="preserve"> од дана испоруке.</w:t>
      </w:r>
    </w:p>
    <w:p w:rsidR="00812163" w:rsidRPr="00482B1C" w:rsidRDefault="00812163" w:rsidP="00E309C8">
      <w:pPr>
        <w:ind w:left="0"/>
      </w:pPr>
    </w:p>
    <w:p w:rsidR="00812163" w:rsidRPr="00482B1C" w:rsidRDefault="00812163" w:rsidP="00A8786A">
      <w:pPr>
        <w:ind w:left="0"/>
        <w:jc w:val="both"/>
      </w:pPr>
      <w:r w:rsidRPr="00482B1C">
        <w:rPr>
          <w:b/>
        </w:rPr>
        <w:t>г)</w:t>
      </w:r>
      <w:r w:rsidRPr="00482B1C">
        <w:t xml:space="preserve">  Да је у претходне 3 године 2019, 2020 и 2021 понуђач остварио уговор о продаји и </w:t>
      </w:r>
      <w:proofErr w:type="spellStart"/>
      <w:r w:rsidRPr="00482B1C">
        <w:t>постпродајном</w:t>
      </w:r>
      <w:proofErr w:type="spellEnd"/>
      <w:r w:rsidRPr="00482B1C">
        <w:t xml:space="preserve"> </w:t>
      </w:r>
      <w:proofErr w:type="spellStart"/>
      <w:r w:rsidRPr="00482B1C">
        <w:t>сервисном</w:t>
      </w:r>
      <w:proofErr w:type="spellEnd"/>
      <w:r w:rsidRPr="00482B1C">
        <w:t xml:space="preserve"> одржавању опреме за минимун 1</w:t>
      </w:r>
      <w:r w:rsidR="00A8786A" w:rsidRPr="00482B1C">
        <w:t xml:space="preserve"> </w:t>
      </w:r>
      <w:r w:rsidRPr="00482B1C">
        <w:t>(један) уређај, понуђеног произвођача на територији републике Србије.</w:t>
      </w:r>
    </w:p>
    <w:p w:rsidR="00311876" w:rsidRPr="00482B1C" w:rsidRDefault="00311876" w:rsidP="004E6DF2">
      <w:pPr>
        <w:ind w:left="0"/>
      </w:pPr>
    </w:p>
    <w:p w:rsidR="004E28AA" w:rsidRPr="00482B1C" w:rsidRDefault="00812163" w:rsidP="00A8786A">
      <w:pPr>
        <w:ind w:left="0"/>
        <w:jc w:val="both"/>
      </w:pPr>
      <w:r w:rsidRPr="00482B1C">
        <w:rPr>
          <w:b/>
        </w:rPr>
        <w:t>д</w:t>
      </w:r>
      <w:r w:rsidR="00311876" w:rsidRPr="00482B1C">
        <w:rPr>
          <w:b/>
        </w:rPr>
        <w:t>)</w:t>
      </w:r>
      <w:r w:rsidR="00311876" w:rsidRPr="00482B1C">
        <w:t xml:space="preserve">  </w:t>
      </w:r>
      <w:r w:rsidR="004E28AA" w:rsidRPr="00482B1C">
        <w:t>Извршилац се обавезује да на дан закључења овог уговора</w:t>
      </w:r>
      <w:r w:rsidR="004E28AA" w:rsidRPr="00482B1C">
        <w:rPr>
          <w:b/>
        </w:rPr>
        <w:t xml:space="preserve"> као средство обезбеђења за добро извршење посла</w:t>
      </w:r>
      <w:r w:rsidR="004E28AA" w:rsidRPr="00482B1C">
        <w:t xml:space="preserve"> и </w:t>
      </w:r>
      <w:r w:rsidR="004E28AA" w:rsidRPr="00482B1C">
        <w:rPr>
          <w:b/>
        </w:rPr>
        <w:t>отклањање недостатака у гарантном року</w:t>
      </w:r>
      <w:r w:rsidR="004E28AA" w:rsidRPr="00482B1C">
        <w:t xml:space="preserve">, преда Наручиоцу потписану и оверену </w:t>
      </w:r>
      <w:r w:rsidR="00E578D4" w:rsidRPr="00482B1C">
        <w:t xml:space="preserve">1 (једну) </w:t>
      </w:r>
      <w:r w:rsidR="004E28AA" w:rsidRPr="00482B1C">
        <w:t xml:space="preserve">бланко меницу, регистрована у регистру меница НБС, менично писмо потписано и оверено на вредност од </w:t>
      </w:r>
      <w:r w:rsidR="004E28AA" w:rsidRPr="00482B1C">
        <w:rPr>
          <w:b/>
        </w:rPr>
        <w:t>10% (процената)</w:t>
      </w:r>
      <w:r w:rsidR="004E28AA" w:rsidRPr="00482B1C">
        <w:t xml:space="preserve"> од уговорене вредности опреме (без ПДВ-а), картон депонованих потписа. Потписи на меници, меничном писму и картону депонованих потписа морају бити идентични.</w:t>
      </w:r>
    </w:p>
    <w:p w:rsidR="00311876" w:rsidRPr="00482B1C" w:rsidRDefault="00311876" w:rsidP="004E6DF2">
      <w:pPr>
        <w:ind w:left="0"/>
      </w:pPr>
    </w:p>
    <w:p w:rsidR="00F30891" w:rsidRPr="00482B1C" w:rsidRDefault="00F30891" w:rsidP="004E6DF2">
      <w:pPr>
        <w:ind w:left="0"/>
      </w:pPr>
    </w:p>
    <w:p w:rsidR="00F30891" w:rsidRPr="00482B1C" w:rsidRDefault="00F30891" w:rsidP="004E6DF2">
      <w:pPr>
        <w:ind w:left="0" w:right="-138"/>
        <w:jc w:val="both"/>
      </w:pPr>
      <w:r w:rsidRPr="00482B1C"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:rsidR="00F30891" w:rsidRPr="00482B1C" w:rsidRDefault="00F30891" w:rsidP="00F30891">
      <w:pPr>
        <w:ind w:left="0"/>
      </w:pPr>
    </w:p>
    <w:p w:rsidR="00F30891" w:rsidRPr="00482B1C" w:rsidRDefault="00F30891" w:rsidP="00F30891">
      <w:pPr>
        <w:ind w:left="0"/>
      </w:pPr>
    </w:p>
    <w:p w:rsidR="00485964" w:rsidRPr="00482B1C" w:rsidRDefault="00F30891" w:rsidP="00F30891">
      <w:pPr>
        <w:ind w:left="0"/>
        <w:rPr>
          <w:b/>
          <w:bCs/>
        </w:rPr>
      </w:pPr>
      <w:r w:rsidRPr="00482B1C">
        <w:rPr>
          <w:bCs/>
        </w:rPr>
        <w:t>Напомена:</w:t>
      </w:r>
      <w:r w:rsidRPr="00482B1C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</w:t>
      </w:r>
    </w:p>
    <w:p w:rsidR="00A56A80" w:rsidRPr="00482B1C" w:rsidRDefault="00A56A80" w:rsidP="00D0110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80" w:rsidRPr="00482B1C" w:rsidRDefault="00A56A80" w:rsidP="00A56A80">
      <w:pPr>
        <w:rPr>
          <w:lang w:val="en-US"/>
        </w:rPr>
      </w:pPr>
    </w:p>
    <w:p w:rsidR="00A56A80" w:rsidRPr="00482B1C" w:rsidRDefault="00A56A80" w:rsidP="00A56A80">
      <w:pPr>
        <w:rPr>
          <w:lang w:val="en-US"/>
        </w:rPr>
      </w:pPr>
    </w:p>
    <w:p w:rsidR="00A56A80" w:rsidRPr="00482B1C" w:rsidRDefault="00A56A80" w:rsidP="00A56A80">
      <w:pPr>
        <w:rPr>
          <w:lang w:val="en-US"/>
        </w:rPr>
      </w:pPr>
    </w:p>
    <w:p w:rsidR="00A56A80" w:rsidRPr="00482B1C" w:rsidRDefault="00A56A80" w:rsidP="00A56A80">
      <w:pPr>
        <w:rPr>
          <w:lang w:val="en-US"/>
        </w:rPr>
      </w:pPr>
    </w:p>
    <w:p w:rsidR="00F30891" w:rsidRPr="00482B1C" w:rsidRDefault="00A56A80" w:rsidP="00A56A80">
      <w:pPr>
        <w:tabs>
          <w:tab w:val="left" w:pos="6237"/>
        </w:tabs>
      </w:pPr>
      <w:r w:rsidRPr="00482B1C">
        <w:rPr>
          <w:lang w:val="en-US"/>
        </w:rPr>
        <w:tab/>
      </w:r>
      <w:r w:rsidRPr="00482B1C">
        <w:t>_____________________________</w:t>
      </w:r>
    </w:p>
    <w:sectPr w:rsidR="00F30891" w:rsidRPr="00482B1C" w:rsidSect="00A8786A">
      <w:footerReference w:type="default" r:id="rId8"/>
      <w:pgSz w:w="12240" w:h="15840"/>
      <w:pgMar w:top="1440" w:right="1440" w:bottom="1440" w:left="1440" w:header="6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86A" w:rsidRDefault="00A8786A" w:rsidP="00D22D34">
      <w:r>
        <w:separator/>
      </w:r>
    </w:p>
  </w:endnote>
  <w:endnote w:type="continuationSeparator" w:id="0">
    <w:p w:rsidR="00A8786A" w:rsidRDefault="00A8786A" w:rsidP="00D22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31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8786A" w:rsidRPr="0096221E" w:rsidRDefault="00133639">
        <w:pPr>
          <w:pStyle w:val="a4"/>
          <w:jc w:val="right"/>
          <w:rPr>
            <w:sz w:val="16"/>
            <w:szCs w:val="16"/>
          </w:rPr>
        </w:pPr>
        <w:r w:rsidRPr="0096221E">
          <w:rPr>
            <w:sz w:val="16"/>
            <w:szCs w:val="16"/>
          </w:rPr>
          <w:fldChar w:fldCharType="begin"/>
        </w:r>
        <w:r w:rsidR="00A8786A" w:rsidRPr="0096221E">
          <w:rPr>
            <w:sz w:val="16"/>
            <w:szCs w:val="16"/>
          </w:rPr>
          <w:instrText xml:space="preserve"> PAGE   \* MERGEFORMAT </w:instrText>
        </w:r>
        <w:r w:rsidRPr="0096221E">
          <w:rPr>
            <w:sz w:val="16"/>
            <w:szCs w:val="16"/>
          </w:rPr>
          <w:fldChar w:fldCharType="separate"/>
        </w:r>
        <w:r w:rsidR="00482B1C">
          <w:rPr>
            <w:noProof/>
            <w:sz w:val="16"/>
            <w:szCs w:val="16"/>
          </w:rPr>
          <w:t>2</w:t>
        </w:r>
        <w:r w:rsidRPr="0096221E">
          <w:rPr>
            <w:sz w:val="16"/>
            <w:szCs w:val="16"/>
          </w:rPr>
          <w:fldChar w:fldCharType="end"/>
        </w:r>
        <w:r w:rsidR="00A8786A">
          <w:rPr>
            <w:sz w:val="16"/>
            <w:szCs w:val="16"/>
          </w:rPr>
          <w:t>/2</w:t>
        </w:r>
      </w:p>
    </w:sdtContent>
  </w:sdt>
  <w:p w:rsidR="00A8786A" w:rsidRDefault="00A878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86A" w:rsidRDefault="00A8786A" w:rsidP="00D22D34">
      <w:r>
        <w:separator/>
      </w:r>
    </w:p>
  </w:footnote>
  <w:footnote w:type="continuationSeparator" w:id="0">
    <w:p w:rsidR="00A8786A" w:rsidRDefault="00A8786A" w:rsidP="00D22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17E34"/>
    <w:multiLevelType w:val="hybridMultilevel"/>
    <w:tmpl w:val="CE785EF8"/>
    <w:lvl w:ilvl="0" w:tplc="F2BA5D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84608"/>
    <w:multiLevelType w:val="hybridMultilevel"/>
    <w:tmpl w:val="690C5588"/>
    <w:lvl w:ilvl="0" w:tplc="B3EAA7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734D4"/>
    <w:multiLevelType w:val="hybridMultilevel"/>
    <w:tmpl w:val="E356FD58"/>
    <w:lvl w:ilvl="0" w:tplc="E5626B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FF21DB"/>
    <w:multiLevelType w:val="multilevel"/>
    <w:tmpl w:val="EBC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002DC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8367C2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771EE"/>
    <w:multiLevelType w:val="multilevel"/>
    <w:tmpl w:val="7878F0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E783D"/>
    <w:multiLevelType w:val="hybridMultilevel"/>
    <w:tmpl w:val="61BE4AAC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5"/>
  </w:num>
  <w:num w:numId="5">
    <w:abstractNumId w:val="0"/>
  </w:num>
  <w:num w:numId="6">
    <w:abstractNumId w:val="11"/>
  </w:num>
  <w:num w:numId="7">
    <w:abstractNumId w:val="2"/>
  </w:num>
  <w:num w:numId="8">
    <w:abstractNumId w:val="16"/>
  </w:num>
  <w:num w:numId="9">
    <w:abstractNumId w:val="13"/>
  </w:num>
  <w:num w:numId="10">
    <w:abstractNumId w:val="9"/>
  </w:num>
  <w:num w:numId="11">
    <w:abstractNumId w:val="10"/>
  </w:num>
  <w:num w:numId="12">
    <w:abstractNumId w:val="1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D22D34"/>
    <w:rsid w:val="00006182"/>
    <w:rsid w:val="00053E72"/>
    <w:rsid w:val="00085FAA"/>
    <w:rsid w:val="00093EA3"/>
    <w:rsid w:val="000C3FF5"/>
    <w:rsid w:val="00133639"/>
    <w:rsid w:val="001548F1"/>
    <w:rsid w:val="0020252C"/>
    <w:rsid w:val="0020357C"/>
    <w:rsid w:val="00251F2E"/>
    <w:rsid w:val="00276031"/>
    <w:rsid w:val="00281A0F"/>
    <w:rsid w:val="002C1A6F"/>
    <w:rsid w:val="00311876"/>
    <w:rsid w:val="00314DE5"/>
    <w:rsid w:val="00334075"/>
    <w:rsid w:val="00344585"/>
    <w:rsid w:val="003453EA"/>
    <w:rsid w:val="003673EC"/>
    <w:rsid w:val="003A5ED7"/>
    <w:rsid w:val="003B0564"/>
    <w:rsid w:val="003E6250"/>
    <w:rsid w:val="003F2391"/>
    <w:rsid w:val="003F7974"/>
    <w:rsid w:val="00417D3A"/>
    <w:rsid w:val="004445D6"/>
    <w:rsid w:val="00470774"/>
    <w:rsid w:val="00482B1C"/>
    <w:rsid w:val="00484075"/>
    <w:rsid w:val="00485964"/>
    <w:rsid w:val="004B0F08"/>
    <w:rsid w:val="004E28AA"/>
    <w:rsid w:val="004E6DF2"/>
    <w:rsid w:val="00576A16"/>
    <w:rsid w:val="005F56DF"/>
    <w:rsid w:val="00610DAE"/>
    <w:rsid w:val="006403A4"/>
    <w:rsid w:val="006860BA"/>
    <w:rsid w:val="006C2FED"/>
    <w:rsid w:val="006F6D42"/>
    <w:rsid w:val="00705A1A"/>
    <w:rsid w:val="007675B4"/>
    <w:rsid w:val="007C1D89"/>
    <w:rsid w:val="008046ED"/>
    <w:rsid w:val="00812163"/>
    <w:rsid w:val="008503F9"/>
    <w:rsid w:val="00851942"/>
    <w:rsid w:val="00886853"/>
    <w:rsid w:val="00922846"/>
    <w:rsid w:val="00937D62"/>
    <w:rsid w:val="0096221E"/>
    <w:rsid w:val="00972263"/>
    <w:rsid w:val="009908B1"/>
    <w:rsid w:val="009B2534"/>
    <w:rsid w:val="009B540D"/>
    <w:rsid w:val="00A0143D"/>
    <w:rsid w:val="00A17AEA"/>
    <w:rsid w:val="00A345EC"/>
    <w:rsid w:val="00A37B7A"/>
    <w:rsid w:val="00A45C28"/>
    <w:rsid w:val="00A54F6A"/>
    <w:rsid w:val="00A56A80"/>
    <w:rsid w:val="00A60BFF"/>
    <w:rsid w:val="00A8786A"/>
    <w:rsid w:val="00AE3E8A"/>
    <w:rsid w:val="00AE4109"/>
    <w:rsid w:val="00B02EF5"/>
    <w:rsid w:val="00B1530C"/>
    <w:rsid w:val="00B34308"/>
    <w:rsid w:val="00B572AF"/>
    <w:rsid w:val="00B61422"/>
    <w:rsid w:val="00B81F80"/>
    <w:rsid w:val="00B92719"/>
    <w:rsid w:val="00BA7671"/>
    <w:rsid w:val="00BC7F5D"/>
    <w:rsid w:val="00BE6A71"/>
    <w:rsid w:val="00BF5F42"/>
    <w:rsid w:val="00C32B6F"/>
    <w:rsid w:val="00C42C5A"/>
    <w:rsid w:val="00C80276"/>
    <w:rsid w:val="00CD2B8E"/>
    <w:rsid w:val="00D0110A"/>
    <w:rsid w:val="00D13F00"/>
    <w:rsid w:val="00D14266"/>
    <w:rsid w:val="00D22D34"/>
    <w:rsid w:val="00D54660"/>
    <w:rsid w:val="00D70BC9"/>
    <w:rsid w:val="00D73B2B"/>
    <w:rsid w:val="00D84E26"/>
    <w:rsid w:val="00DA1753"/>
    <w:rsid w:val="00E309C8"/>
    <w:rsid w:val="00E36491"/>
    <w:rsid w:val="00E506E7"/>
    <w:rsid w:val="00E578D4"/>
    <w:rsid w:val="00E64AB0"/>
    <w:rsid w:val="00E70663"/>
    <w:rsid w:val="00E70C1A"/>
    <w:rsid w:val="00EC2D1F"/>
    <w:rsid w:val="00ED3777"/>
    <w:rsid w:val="00F2199C"/>
    <w:rsid w:val="00F30891"/>
    <w:rsid w:val="00F75B0E"/>
    <w:rsid w:val="00FA1488"/>
    <w:rsid w:val="00FD5A3A"/>
    <w:rsid w:val="00FF1311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D34"/>
    <w:pPr>
      <w:spacing w:after="0" w:line="240" w:lineRule="auto"/>
      <w:ind w:left="840" w:right="-36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D22D34"/>
    <w:pPr>
      <w:ind w:left="720"/>
      <w:contextualSpacing/>
    </w:pPr>
    <w:rPr>
      <w:lang w:val="en-US"/>
    </w:rPr>
  </w:style>
  <w:style w:type="paragraph" w:styleId="a3">
    <w:name w:val="header"/>
    <w:basedOn w:val="Normal"/>
    <w:link w:val="Char"/>
    <w:uiPriority w:val="99"/>
    <w:semiHidden/>
    <w:unhideWhenUsed/>
    <w:rsid w:val="00D22D34"/>
    <w:pPr>
      <w:tabs>
        <w:tab w:val="center" w:pos="4680"/>
        <w:tab w:val="right" w:pos="9360"/>
      </w:tabs>
    </w:pPr>
  </w:style>
  <w:style w:type="character" w:customStyle="1" w:styleId="Char">
    <w:name w:val="Заглавље странице Char"/>
    <w:basedOn w:val="a"/>
    <w:link w:val="a3"/>
    <w:uiPriority w:val="99"/>
    <w:semiHidden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4">
    <w:name w:val="footer"/>
    <w:basedOn w:val="Normal"/>
    <w:link w:val="Char0"/>
    <w:uiPriority w:val="99"/>
    <w:unhideWhenUsed/>
    <w:rsid w:val="00D22D34"/>
    <w:pPr>
      <w:tabs>
        <w:tab w:val="center" w:pos="4680"/>
        <w:tab w:val="right" w:pos="9360"/>
      </w:tabs>
    </w:pPr>
  </w:style>
  <w:style w:type="character" w:customStyle="1" w:styleId="Char0">
    <w:name w:val="Подножје странице Char"/>
    <w:basedOn w:val="a"/>
    <w:link w:val="a4"/>
    <w:uiPriority w:val="99"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5">
    <w:name w:val="No Spacing"/>
    <w:uiPriority w:val="1"/>
    <w:qFormat/>
    <w:rsid w:val="00E64AB0"/>
    <w:pPr>
      <w:spacing w:after="0" w:line="240" w:lineRule="auto"/>
    </w:pPr>
  </w:style>
  <w:style w:type="paragraph" w:styleId="a6">
    <w:name w:val="Balloon Text"/>
    <w:basedOn w:val="Normal"/>
    <w:link w:val="Char1"/>
    <w:uiPriority w:val="99"/>
    <w:semiHidden/>
    <w:unhideWhenUsed/>
    <w:rsid w:val="00F30891"/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6"/>
    <w:uiPriority w:val="99"/>
    <w:semiHidden/>
    <w:rsid w:val="00F30891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A3D4-89D3-4EA3-A5CF-771CB6DF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vesnadj</dc:creator>
  <cp:lastModifiedBy>goca</cp:lastModifiedBy>
  <cp:revision>25</cp:revision>
  <cp:lastPrinted>2021-10-26T10:01:00Z</cp:lastPrinted>
  <dcterms:created xsi:type="dcterms:W3CDTF">2021-11-01T11:16:00Z</dcterms:created>
  <dcterms:modified xsi:type="dcterms:W3CDTF">2022-09-01T06:13:00Z</dcterms:modified>
</cp:coreProperties>
</file>